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FD" w:rsidRPr="006361FD" w:rsidRDefault="006361FD" w:rsidP="006361FD">
      <w:pPr>
        <w:pStyle w:val="Heading1"/>
        <w:numPr>
          <w:ilvl w:val="0"/>
          <w:numId w:val="0"/>
        </w:numPr>
        <w:rPr>
          <w:rFonts w:ascii="Arial" w:hAnsi="Arial" w:cs="Arial"/>
          <w:sz w:val="28"/>
          <w:szCs w:val="28"/>
        </w:rPr>
      </w:pPr>
      <w:bookmarkStart w:id="0" w:name="_Ref504374823"/>
      <w:bookmarkStart w:id="1" w:name="_Toc507139878"/>
      <w:r w:rsidRPr="006361FD">
        <w:rPr>
          <w:rFonts w:ascii="Arial" w:hAnsi="Arial" w:cs="Arial"/>
          <w:sz w:val="28"/>
          <w:szCs w:val="28"/>
        </w:rPr>
        <w:t>Subject Access Policy.</w:t>
      </w:r>
      <w:bookmarkEnd w:id="0"/>
      <w:bookmarkEnd w:id="1"/>
    </w:p>
    <w:p w:rsidR="006361FD" w:rsidRDefault="00051B6D" w:rsidP="006361FD">
      <w:pPr>
        <w:pStyle w:val="AnnexureHeading1"/>
        <w:numPr>
          <w:ilvl w:val="0"/>
          <w:numId w:val="0"/>
        </w:numPr>
        <w:rPr>
          <w:rFonts w:ascii="Arial" w:hAnsi="Arial" w:cs="Arial"/>
          <w:sz w:val="22"/>
          <w:szCs w:val="22"/>
        </w:rPr>
      </w:pPr>
      <w:r>
        <w:rPr>
          <w:rFonts w:ascii="Arial" w:hAnsi="Arial" w:cs="Arial"/>
          <w:sz w:val="22"/>
          <w:szCs w:val="22"/>
        </w:rPr>
        <w:t xml:space="preserve">Adopted by </w:t>
      </w:r>
      <w:proofErr w:type="gramStart"/>
      <w:r>
        <w:rPr>
          <w:rFonts w:ascii="Arial" w:hAnsi="Arial" w:cs="Arial"/>
          <w:sz w:val="22"/>
          <w:szCs w:val="22"/>
        </w:rPr>
        <w:t>Longden  Parish</w:t>
      </w:r>
      <w:proofErr w:type="gramEnd"/>
      <w:r>
        <w:rPr>
          <w:rFonts w:ascii="Arial" w:hAnsi="Arial" w:cs="Arial"/>
          <w:sz w:val="22"/>
          <w:szCs w:val="22"/>
        </w:rPr>
        <w:t xml:space="preserve"> Council on Monday 4</w:t>
      </w:r>
      <w:r w:rsidRPr="00051B6D">
        <w:rPr>
          <w:rFonts w:ascii="Arial" w:hAnsi="Arial" w:cs="Arial"/>
          <w:sz w:val="22"/>
          <w:szCs w:val="22"/>
          <w:vertAlign w:val="superscript"/>
        </w:rPr>
        <w:t>th</w:t>
      </w:r>
      <w:r>
        <w:rPr>
          <w:rFonts w:ascii="Arial" w:hAnsi="Arial" w:cs="Arial"/>
          <w:sz w:val="22"/>
          <w:szCs w:val="22"/>
        </w:rPr>
        <w:t xml:space="preserve"> April  2018  Review Date April </w:t>
      </w:r>
      <w:r w:rsidR="006361FD">
        <w:rPr>
          <w:rFonts w:ascii="Arial" w:hAnsi="Arial" w:cs="Arial"/>
          <w:sz w:val="22"/>
          <w:szCs w:val="22"/>
        </w:rPr>
        <w:t>2019</w:t>
      </w:r>
    </w:p>
    <w:p w:rsidR="006361FD" w:rsidRDefault="006361FD" w:rsidP="006361FD">
      <w:pPr>
        <w:pStyle w:val="AnnexureHeading2"/>
        <w:numPr>
          <w:ilvl w:val="0"/>
          <w:numId w:val="0"/>
        </w:numPr>
        <w:ind w:left="720"/>
        <w:rPr>
          <w:rFonts w:ascii="Arial" w:hAnsi="Arial" w:cs="Arial"/>
          <w:sz w:val="22"/>
        </w:rPr>
      </w:pPr>
      <w:r w:rsidRPr="006361FD">
        <w:rPr>
          <w:rFonts w:ascii="Arial" w:hAnsi="Arial" w:cs="Arial"/>
          <w:sz w:val="22"/>
        </w:rPr>
        <w:t>This</w:t>
      </w:r>
      <w:r w:rsidR="005942E5">
        <w:rPr>
          <w:rFonts w:ascii="Arial" w:hAnsi="Arial" w:cs="Arial"/>
          <w:sz w:val="22"/>
        </w:rPr>
        <w:t xml:space="preserve"> policy was adopted by </w:t>
      </w:r>
      <w:proofErr w:type="gramStart"/>
      <w:r w:rsidR="005942E5">
        <w:rPr>
          <w:rFonts w:ascii="Arial" w:hAnsi="Arial" w:cs="Arial"/>
          <w:sz w:val="22"/>
        </w:rPr>
        <w:t xml:space="preserve">Longden </w:t>
      </w:r>
      <w:r w:rsidRPr="006361FD">
        <w:rPr>
          <w:rFonts w:ascii="Arial" w:hAnsi="Arial" w:cs="Arial"/>
          <w:sz w:val="22"/>
        </w:rPr>
        <w:t xml:space="preserve"> Parish</w:t>
      </w:r>
      <w:proofErr w:type="gramEnd"/>
      <w:r w:rsidRPr="006361FD">
        <w:rPr>
          <w:rFonts w:ascii="Arial" w:hAnsi="Arial" w:cs="Arial"/>
          <w:sz w:val="22"/>
        </w:rPr>
        <w:t xml:space="preserve"> Council in order to comply with the requirements of the General Data Protection Regulations (GDPR) in force on 25</w:t>
      </w:r>
      <w:r w:rsidRPr="006361FD">
        <w:rPr>
          <w:rFonts w:ascii="Arial" w:hAnsi="Arial" w:cs="Arial"/>
          <w:sz w:val="22"/>
          <w:vertAlign w:val="superscript"/>
        </w:rPr>
        <w:t>th</w:t>
      </w:r>
      <w:r w:rsidRPr="006361FD">
        <w:rPr>
          <w:rFonts w:ascii="Arial" w:hAnsi="Arial" w:cs="Arial"/>
          <w:sz w:val="22"/>
        </w:rPr>
        <w:t xml:space="preserve"> May 2018</w:t>
      </w:r>
    </w:p>
    <w:p w:rsidR="006361FD" w:rsidRPr="006361FD" w:rsidRDefault="006361FD" w:rsidP="006361FD">
      <w:pPr>
        <w:pStyle w:val="AnnexureHeading2"/>
        <w:numPr>
          <w:ilvl w:val="0"/>
          <w:numId w:val="0"/>
        </w:numPr>
        <w:ind w:left="720"/>
        <w:rPr>
          <w:rFonts w:ascii="Arial" w:hAnsi="Arial" w:cs="Arial"/>
          <w:sz w:val="22"/>
        </w:rPr>
      </w:pPr>
      <w:r>
        <w:rPr>
          <w:rFonts w:ascii="Arial" w:hAnsi="Arial" w:cs="Arial"/>
          <w:sz w:val="22"/>
        </w:rPr>
        <w:t>Data subject have the right to access personal data held on them by the Council, Details are set out in the Privacy Notice on the Councils website.</w:t>
      </w:r>
    </w:p>
    <w:p w:rsidR="006361FD" w:rsidRDefault="006361FD" w:rsidP="006361FD">
      <w:pPr>
        <w:pStyle w:val="AnnexureHeading1"/>
        <w:numPr>
          <w:ilvl w:val="0"/>
          <w:numId w:val="0"/>
        </w:numPr>
        <w:ind w:left="720"/>
        <w:rPr>
          <w:rFonts w:ascii="Arial" w:hAnsi="Arial" w:cs="Arial"/>
          <w:sz w:val="22"/>
          <w:szCs w:val="22"/>
        </w:rPr>
      </w:pPr>
      <w:r>
        <w:rPr>
          <w:rFonts w:ascii="Arial" w:hAnsi="Arial" w:cs="Arial"/>
          <w:sz w:val="22"/>
          <w:szCs w:val="22"/>
        </w:rPr>
        <w:t>This policy is in place to ensure that internal procedures on handing of SRAs are accurate and complied with and includes</w:t>
      </w:r>
    </w:p>
    <w:p w:rsidR="006361FD" w:rsidRPr="00D75DE2" w:rsidRDefault="006361FD" w:rsidP="006361FD">
      <w:pPr>
        <w:pStyle w:val="AnnexureHeading2"/>
        <w:rPr>
          <w:rFonts w:ascii="Arial" w:hAnsi="Arial" w:cs="Arial"/>
          <w:sz w:val="22"/>
        </w:rPr>
      </w:pPr>
      <w:r w:rsidRPr="00D75DE2">
        <w:rPr>
          <w:rFonts w:ascii="Arial" w:hAnsi="Arial" w:cs="Arial"/>
          <w:sz w:val="22"/>
        </w:rPr>
        <w:t>Responsibilities (who, what)</w:t>
      </w:r>
    </w:p>
    <w:p w:rsidR="006361FD" w:rsidRPr="00D75DE2" w:rsidRDefault="006361FD" w:rsidP="006361FD">
      <w:pPr>
        <w:pStyle w:val="AnnexureHeading2"/>
        <w:rPr>
          <w:rFonts w:ascii="Arial" w:hAnsi="Arial" w:cs="Arial"/>
          <w:sz w:val="22"/>
        </w:rPr>
      </w:pPr>
      <w:r w:rsidRPr="00D75DE2">
        <w:rPr>
          <w:rFonts w:ascii="Arial" w:hAnsi="Arial" w:cs="Arial"/>
          <w:sz w:val="22"/>
        </w:rPr>
        <w:t>Timing</w:t>
      </w:r>
    </w:p>
    <w:p w:rsidR="006361FD" w:rsidRPr="00D75DE2" w:rsidRDefault="006361FD" w:rsidP="006361FD">
      <w:pPr>
        <w:pStyle w:val="AnnexureHeading2"/>
        <w:rPr>
          <w:rFonts w:ascii="Arial" w:hAnsi="Arial" w:cs="Arial"/>
          <w:sz w:val="22"/>
        </w:rPr>
      </w:pPr>
      <w:r w:rsidRPr="00D75DE2">
        <w:rPr>
          <w:rFonts w:ascii="Arial" w:hAnsi="Arial" w:cs="Arial"/>
          <w:sz w:val="22"/>
        </w:rPr>
        <w:t>Changes to data</w:t>
      </w:r>
    </w:p>
    <w:p w:rsidR="006361FD" w:rsidRPr="00D75DE2" w:rsidRDefault="006361FD" w:rsidP="006361FD">
      <w:pPr>
        <w:pStyle w:val="AnnexureHeading2"/>
        <w:rPr>
          <w:rFonts w:ascii="Arial" w:hAnsi="Arial" w:cs="Arial"/>
          <w:sz w:val="22"/>
        </w:rPr>
      </w:pPr>
      <w:r w:rsidRPr="00D75DE2">
        <w:rPr>
          <w:rFonts w:ascii="Arial" w:hAnsi="Arial" w:cs="Arial"/>
          <w:sz w:val="22"/>
        </w:rPr>
        <w:t>Handling requests for rectification, erasure or restriction of processing.</w:t>
      </w:r>
    </w:p>
    <w:p w:rsidR="006361FD" w:rsidRPr="00D75DE2" w:rsidRDefault="006361FD" w:rsidP="006361FD">
      <w:pPr>
        <w:pStyle w:val="AnnexureHeading1"/>
        <w:numPr>
          <w:ilvl w:val="0"/>
          <w:numId w:val="0"/>
        </w:numPr>
        <w:ind w:left="720"/>
        <w:rPr>
          <w:rFonts w:ascii="Arial" w:hAnsi="Arial" w:cs="Arial"/>
          <w:sz w:val="22"/>
          <w:szCs w:val="22"/>
        </w:rPr>
      </w:pPr>
      <w:r>
        <w:rPr>
          <w:rFonts w:ascii="Arial" w:hAnsi="Arial" w:cs="Arial"/>
          <w:sz w:val="22"/>
          <w:szCs w:val="22"/>
        </w:rPr>
        <w:t xml:space="preserve">The Council will ensure that </w:t>
      </w:r>
      <w:r w:rsidRPr="00D75DE2">
        <w:rPr>
          <w:rFonts w:ascii="Arial" w:hAnsi="Arial" w:cs="Arial"/>
          <w:sz w:val="22"/>
          <w:szCs w:val="22"/>
        </w:rPr>
        <w:t>personal data is easily accessible at all times in order to ensure a timely response to SARs and that personal data on specific data subjects can be easily filtered.</w:t>
      </w:r>
    </w:p>
    <w:p w:rsidR="006361FD" w:rsidRPr="00D75DE2" w:rsidRDefault="006361FD" w:rsidP="006361FD">
      <w:pPr>
        <w:pStyle w:val="AnnexureHeading1"/>
        <w:numPr>
          <w:ilvl w:val="0"/>
          <w:numId w:val="0"/>
        </w:numPr>
        <w:ind w:firstLine="720"/>
        <w:rPr>
          <w:rFonts w:ascii="Arial" w:hAnsi="Arial" w:cs="Arial"/>
          <w:sz w:val="22"/>
          <w:szCs w:val="22"/>
        </w:rPr>
      </w:pPr>
      <w:r>
        <w:rPr>
          <w:rFonts w:ascii="Arial" w:hAnsi="Arial" w:cs="Arial"/>
          <w:sz w:val="22"/>
          <w:szCs w:val="22"/>
        </w:rPr>
        <w:t xml:space="preserve">The Council has </w:t>
      </w:r>
      <w:r w:rsidRPr="00D75DE2">
        <w:rPr>
          <w:rFonts w:ascii="Arial" w:hAnsi="Arial" w:cs="Arial"/>
          <w:sz w:val="22"/>
          <w:szCs w:val="22"/>
        </w:rPr>
        <w:t>implement</w:t>
      </w:r>
      <w:r>
        <w:rPr>
          <w:rFonts w:ascii="Arial" w:hAnsi="Arial" w:cs="Arial"/>
          <w:sz w:val="22"/>
          <w:szCs w:val="22"/>
        </w:rPr>
        <w:t xml:space="preserve">ed </w:t>
      </w:r>
      <w:r w:rsidRPr="00D75DE2">
        <w:rPr>
          <w:rFonts w:ascii="Arial" w:hAnsi="Arial" w:cs="Arial"/>
          <w:sz w:val="22"/>
          <w:szCs w:val="22"/>
        </w:rPr>
        <w:t>standards to respond to SARs</w:t>
      </w:r>
      <w:r>
        <w:rPr>
          <w:rFonts w:ascii="Arial" w:hAnsi="Arial" w:cs="Arial"/>
          <w:sz w:val="22"/>
          <w:szCs w:val="22"/>
        </w:rPr>
        <w:t xml:space="preserve">, </w:t>
      </w:r>
    </w:p>
    <w:p w:rsidR="006361FD" w:rsidRPr="00D75DE2" w:rsidRDefault="006361FD" w:rsidP="006361FD">
      <w:pPr>
        <w:pStyle w:val="ScheduleHeading1"/>
        <w:numPr>
          <w:ilvl w:val="0"/>
          <w:numId w:val="7"/>
        </w:numPr>
        <w:rPr>
          <w:rFonts w:ascii="Arial" w:hAnsi="Arial" w:cs="Arial"/>
          <w:sz w:val="22"/>
          <w:szCs w:val="22"/>
        </w:rPr>
      </w:pPr>
      <w:r w:rsidRPr="00D75DE2">
        <w:rPr>
          <w:rFonts w:ascii="Arial" w:hAnsi="Arial" w:cs="Arial"/>
          <w:sz w:val="22"/>
          <w:szCs w:val="22"/>
        </w:rPr>
        <w:t>Upon receipt of a SAR</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Verify whether you are controller of the data subject’s personal data. If you are not a controller, but merely a processor, inform the data subject and refer them to the actual controller.</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Verify the identity of the data subject; if needed, request any further evidence on the identity of the data subject.</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Verity the access request; is it sufficiently substantiated? Is it clear to the data controller what personal data is requested? If not: request additional information.</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Verify whether requests are unfounded or excessive (in particular because of their repetitive character); if so, you may refuse to act on the request or charge a reasonable fee.</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Promptly acknowledge receipt of the SAR and inform the data subject of any costs involved in the processing of the SAR.</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Verify whether you process the data requested. If you do not process any data, inform the data subject accordingly. At all times make sure the internal SAR policy is followed and progress can be monitored.</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Ensure data will not be changed as a result of the SAR. Routine changes as part of the processing activities concerned are permitted.</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Verify whether the data requested also involves data on other data subjects and make sure this data is filtered before the requested data is supplied to the data subject; if data cannot be filtered, ensure that other data subjects have consented to the supply of their data as part of the SAR.</w:t>
      </w:r>
    </w:p>
    <w:p w:rsidR="006361FD" w:rsidRPr="00D75DE2" w:rsidRDefault="006361FD" w:rsidP="006361FD">
      <w:pPr>
        <w:pStyle w:val="ScheduleHeading1"/>
        <w:rPr>
          <w:rFonts w:ascii="Arial" w:hAnsi="Arial" w:cs="Arial"/>
          <w:color w:val="00AACC"/>
          <w:sz w:val="22"/>
          <w:szCs w:val="22"/>
        </w:rPr>
      </w:pPr>
      <w:r w:rsidRPr="00D75DE2">
        <w:rPr>
          <w:rFonts w:ascii="Arial" w:hAnsi="Arial" w:cs="Arial"/>
          <w:sz w:val="22"/>
          <w:szCs w:val="22"/>
        </w:rPr>
        <w:t>Responding to a SAR</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 xml:space="preserve"> Respond to a SAR within one month after receipt of the request: </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lastRenderedPageBreak/>
        <w:t>If more time is needed to respond to complex requests, an extension of another two months is permissible, provided this is communicated to the data subject in a timely manner within the first month;</w:t>
      </w:r>
    </w:p>
    <w:p w:rsidR="006361FD" w:rsidRPr="00D75DE2" w:rsidRDefault="006361FD" w:rsidP="006361FD">
      <w:pPr>
        <w:pStyle w:val="ScheduleHeading3"/>
        <w:rPr>
          <w:rFonts w:ascii="Arial" w:hAnsi="Arial" w:cs="Arial"/>
          <w:sz w:val="22"/>
          <w:szCs w:val="22"/>
        </w:rPr>
      </w:pPr>
      <w:proofErr w:type="gramStart"/>
      <w:r w:rsidRPr="00D75DE2">
        <w:rPr>
          <w:rFonts w:ascii="Arial" w:hAnsi="Arial" w:cs="Arial"/>
          <w:sz w:val="22"/>
          <w:szCs w:val="22"/>
        </w:rPr>
        <w:t>if</w:t>
      </w:r>
      <w:proofErr w:type="gramEnd"/>
      <w:r w:rsidRPr="00D75DE2">
        <w:rPr>
          <w:rFonts w:ascii="Arial" w:hAnsi="Arial" w:cs="Arial"/>
          <w:sz w:val="22"/>
          <w:szCs w:val="22"/>
        </w:rPr>
        <w:t xml:space="preserve"> the council cannot provide the information requested, it should inform the data subject on this decision without delay and at the latest within one month of receipt of the request.</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If a SAR is submitted in electronic form, any personal data should preferably be provided by electronic means as well.</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 xml:space="preserve">If data on the data subject is processed, make sure to include as a minimum the following information in the SAR response: </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the purposes of the processing;</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the categories of personal data concerned;</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the recipients or categories of recipients to whom personal data has been or will be disclosed, in particular in third countries or international organisations, including any appropriate safeguards for transfer of data, such as Binding Corporate Rules</w:t>
      </w:r>
      <w:r w:rsidRPr="00D75DE2">
        <w:rPr>
          <w:rStyle w:val="FootnoteReference"/>
          <w:rFonts w:ascii="Arial" w:hAnsi="Arial" w:cs="Arial"/>
          <w:sz w:val="22"/>
          <w:szCs w:val="22"/>
        </w:rPr>
        <w:footnoteReference w:id="1"/>
      </w:r>
      <w:r w:rsidRPr="00D75DE2">
        <w:rPr>
          <w:rFonts w:ascii="Arial" w:hAnsi="Arial" w:cs="Arial"/>
          <w:sz w:val="22"/>
          <w:szCs w:val="22"/>
        </w:rPr>
        <w:t xml:space="preserve"> or EU model clauses</w:t>
      </w:r>
      <w:r w:rsidRPr="00D75DE2">
        <w:rPr>
          <w:rStyle w:val="FootnoteReference"/>
          <w:rFonts w:ascii="Arial" w:hAnsi="Arial" w:cs="Arial"/>
          <w:sz w:val="22"/>
          <w:szCs w:val="22"/>
        </w:rPr>
        <w:footnoteReference w:id="2"/>
      </w:r>
      <w:r w:rsidRPr="00D75DE2">
        <w:rPr>
          <w:rFonts w:ascii="Arial" w:hAnsi="Arial" w:cs="Arial"/>
          <w:sz w:val="22"/>
          <w:szCs w:val="22"/>
        </w:rPr>
        <w:t>;</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where possible, the envisaged period for which personal data will be stored, or, if not possible, the criteria used to determine that period;</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the existence of the right to request rectification or erasure of personal data or restriction of processing of personal data concerning the data subject or to object to such processing;</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 xml:space="preserve">the right to lodge a complaint with the </w:t>
      </w:r>
      <w:r w:rsidRPr="00D75DE2">
        <w:rPr>
          <w:rStyle w:val="Bodytext2"/>
          <w:sz w:val="22"/>
          <w:szCs w:val="22"/>
        </w:rPr>
        <w:t>Information Commissioners Office (“</w:t>
      </w:r>
      <w:r w:rsidRPr="00D75DE2">
        <w:rPr>
          <w:rFonts w:ascii="Arial" w:hAnsi="Arial" w:cs="Arial"/>
          <w:sz w:val="22"/>
          <w:szCs w:val="22"/>
        </w:rPr>
        <w:t>ICO”);</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if the data has not been collected from the data subject: the source of such data;</w:t>
      </w:r>
    </w:p>
    <w:p w:rsidR="006361FD" w:rsidRPr="00D75DE2" w:rsidRDefault="006361FD" w:rsidP="006361FD">
      <w:pPr>
        <w:pStyle w:val="ScheduleHeading3"/>
        <w:rPr>
          <w:rFonts w:ascii="Arial" w:hAnsi="Arial" w:cs="Arial"/>
          <w:sz w:val="22"/>
          <w:szCs w:val="22"/>
        </w:rPr>
      </w:pPr>
      <w:r w:rsidRPr="00D75DE2">
        <w:rPr>
          <w:rFonts w:ascii="Arial" w:hAnsi="Arial" w:cs="Arial"/>
          <w:sz w:val="22"/>
          <w:szCs w:val="22"/>
        </w:rPr>
        <w:t>the existence of any automated decision-making, including profiling and any meaningful information about the logic involved, as well as the significance and the envisaged consequences of such processing for the data subject.</w:t>
      </w:r>
    </w:p>
    <w:p w:rsidR="006361FD" w:rsidRPr="00D75DE2" w:rsidRDefault="006361FD" w:rsidP="006361FD">
      <w:pPr>
        <w:pStyle w:val="ScheduleHeading2"/>
        <w:rPr>
          <w:rFonts w:ascii="Arial" w:hAnsi="Arial" w:cs="Arial"/>
          <w:sz w:val="22"/>
          <w:szCs w:val="22"/>
        </w:rPr>
      </w:pPr>
      <w:r w:rsidRPr="00D75DE2">
        <w:rPr>
          <w:rFonts w:ascii="Arial" w:hAnsi="Arial" w:cs="Arial"/>
          <w:sz w:val="22"/>
          <w:szCs w:val="22"/>
        </w:rPr>
        <w:t xml:space="preserve">Provide a copy of the personal data undergoing processing. </w:t>
      </w:r>
    </w:p>
    <w:p w:rsidR="006361FD" w:rsidRPr="00D75DE2" w:rsidRDefault="006361FD" w:rsidP="006361FD">
      <w:pPr>
        <w:rPr>
          <w:rFonts w:ascii="Arial" w:hAnsi="Arial" w:cs="Arial"/>
          <w:sz w:val="22"/>
        </w:rPr>
      </w:pPr>
    </w:p>
    <w:p w:rsidR="006361FD" w:rsidRPr="00D75DE2" w:rsidRDefault="006361FD" w:rsidP="006361FD">
      <w:pPr>
        <w:spacing w:after="200"/>
        <w:ind w:left="0" w:firstLine="0"/>
        <w:rPr>
          <w:rFonts w:ascii="Arial" w:eastAsiaTheme="minorHAnsi" w:hAnsi="Arial" w:cs="Arial"/>
          <w:b/>
          <w:sz w:val="22"/>
          <w:lang w:eastAsia="en-US"/>
        </w:rPr>
      </w:pPr>
      <w:r w:rsidRPr="00D75DE2">
        <w:rPr>
          <w:rFonts w:ascii="Arial" w:hAnsi="Arial" w:cs="Arial"/>
          <w:b/>
          <w:sz w:val="22"/>
        </w:rPr>
        <w:br w:type="page"/>
      </w:r>
    </w:p>
    <w:p w:rsidR="006361FD" w:rsidRPr="00D75DE2" w:rsidRDefault="006361FD" w:rsidP="006361FD">
      <w:pPr>
        <w:pStyle w:val="NoSpacing"/>
        <w:rPr>
          <w:rFonts w:ascii="Arial" w:hAnsi="Arial" w:cs="Arial"/>
          <w:b/>
        </w:rPr>
      </w:pPr>
      <w:r w:rsidRPr="00D75DE2">
        <w:rPr>
          <w:rFonts w:ascii="Arial" w:hAnsi="Arial" w:cs="Arial"/>
          <w:b/>
        </w:rPr>
        <w:t>Sample Subject Access Requests Policy</w:t>
      </w:r>
    </w:p>
    <w:p w:rsidR="006361FD" w:rsidRPr="00D75DE2" w:rsidRDefault="006361FD" w:rsidP="006361FD">
      <w:pPr>
        <w:pStyle w:val="NoSpacing"/>
        <w:ind w:left="720"/>
        <w:rPr>
          <w:rFonts w:ascii="Arial" w:hAnsi="Arial" w:cs="Arial"/>
        </w:rPr>
      </w:pPr>
    </w:p>
    <w:p w:rsidR="006361FD" w:rsidRPr="00D75DE2" w:rsidRDefault="006361FD" w:rsidP="006361FD">
      <w:pPr>
        <w:pStyle w:val="NoSpacing"/>
        <w:rPr>
          <w:rFonts w:ascii="Arial" w:hAnsi="Arial" w:cs="Arial"/>
          <w:b/>
        </w:rPr>
      </w:pPr>
      <w:r w:rsidRPr="00D75DE2">
        <w:rPr>
          <w:rFonts w:ascii="Arial" w:hAnsi="Arial" w:cs="Arial"/>
          <w:b/>
        </w:rPr>
        <w:t>What must I do?</w:t>
      </w:r>
    </w:p>
    <w:p w:rsidR="006361FD" w:rsidRPr="00D75DE2" w:rsidRDefault="006361FD" w:rsidP="006361FD">
      <w:pPr>
        <w:pStyle w:val="NoSpacing"/>
        <w:rPr>
          <w:rFonts w:ascii="Arial" w:hAnsi="Arial" w:cs="Arial"/>
        </w:rPr>
      </w:pPr>
    </w:p>
    <w:p w:rsidR="006361FD" w:rsidRPr="00D75DE2" w:rsidRDefault="006361FD" w:rsidP="006361FD">
      <w:pPr>
        <w:pStyle w:val="ListParagraph"/>
        <w:numPr>
          <w:ilvl w:val="0"/>
          <w:numId w:val="4"/>
        </w:numPr>
        <w:spacing w:after="120" w:line="220" w:lineRule="exact"/>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On receipt of a subject access request you must </w:t>
      </w:r>
      <w:r w:rsidRPr="00D75DE2">
        <w:rPr>
          <w:rFonts w:ascii="Arial" w:hAnsi="Arial" w:cs="Arial"/>
          <w:b/>
          <w:sz w:val="22"/>
        </w:rPr>
        <w:t>forward</w:t>
      </w:r>
      <w:r w:rsidRPr="00D75DE2">
        <w:rPr>
          <w:rFonts w:ascii="Arial" w:hAnsi="Arial" w:cs="Arial"/>
          <w:sz w:val="22"/>
        </w:rPr>
        <w:t xml:space="preserve"> it immediately to [  ]</w:t>
      </w:r>
    </w:p>
    <w:p w:rsidR="006361FD" w:rsidRPr="00D75DE2" w:rsidRDefault="006361FD" w:rsidP="006361FD">
      <w:pPr>
        <w:pStyle w:val="ListParagraph"/>
        <w:numPr>
          <w:ilvl w:val="0"/>
          <w:numId w:val="4"/>
        </w:numPr>
        <w:spacing w:after="120" w:line="220" w:lineRule="exact"/>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We must correctly </w:t>
      </w:r>
      <w:r w:rsidRPr="00D75DE2">
        <w:rPr>
          <w:rFonts w:ascii="Arial" w:hAnsi="Arial" w:cs="Arial"/>
          <w:b/>
          <w:sz w:val="22"/>
        </w:rPr>
        <w:t>identify</w:t>
      </w:r>
      <w:r w:rsidRPr="00D75DE2">
        <w:rPr>
          <w:rFonts w:ascii="Arial" w:hAnsi="Arial" w:cs="Arial"/>
          <w:sz w:val="22"/>
        </w:rPr>
        <w:t xml:space="preserve"> whether a request has been made under the Data Protection legislation </w:t>
      </w:r>
    </w:p>
    <w:p w:rsidR="006361FD" w:rsidRPr="00D75DE2" w:rsidRDefault="006361FD" w:rsidP="006361FD">
      <w:pPr>
        <w:pStyle w:val="ListParagraph"/>
        <w:numPr>
          <w:ilvl w:val="0"/>
          <w:numId w:val="4"/>
        </w:numPr>
        <w:spacing w:after="120" w:line="220" w:lineRule="exact"/>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A member of staff, and as appropriate, councillor, who receives a request to locate and supply personal data relating to a SAR must make a full exhaustive </w:t>
      </w:r>
      <w:r w:rsidRPr="00D75DE2">
        <w:rPr>
          <w:rFonts w:ascii="Arial" w:hAnsi="Arial" w:cs="Arial"/>
          <w:b/>
          <w:sz w:val="22"/>
        </w:rPr>
        <w:t>search</w:t>
      </w:r>
      <w:r w:rsidRPr="00D75DE2">
        <w:rPr>
          <w:rFonts w:ascii="Arial" w:hAnsi="Arial" w:cs="Arial"/>
          <w:sz w:val="22"/>
        </w:rPr>
        <w:t xml:space="preserve"> of the records to which they have access. </w:t>
      </w:r>
    </w:p>
    <w:p w:rsidR="006361FD" w:rsidRPr="00D75DE2" w:rsidRDefault="006361FD" w:rsidP="006361FD">
      <w:pPr>
        <w:pStyle w:val="ListParagraph"/>
        <w:numPr>
          <w:ilvl w:val="0"/>
          <w:numId w:val="4"/>
        </w:numPr>
        <w:spacing w:after="120" w:line="220" w:lineRule="exact"/>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All the personal data that has been requested must be </w:t>
      </w:r>
      <w:r w:rsidRPr="00D75DE2">
        <w:rPr>
          <w:rFonts w:ascii="Arial" w:hAnsi="Arial" w:cs="Arial"/>
          <w:b/>
          <w:sz w:val="22"/>
        </w:rPr>
        <w:t>provided</w:t>
      </w:r>
      <w:r w:rsidRPr="00D75DE2">
        <w:rPr>
          <w:rFonts w:ascii="Arial" w:hAnsi="Arial" w:cs="Arial"/>
          <w:sz w:val="22"/>
        </w:rPr>
        <w:t xml:space="preserve"> unless an exemption can be applied.  </w:t>
      </w:r>
    </w:p>
    <w:p w:rsidR="006361FD" w:rsidRPr="00D75DE2" w:rsidRDefault="006361FD" w:rsidP="006361FD">
      <w:pPr>
        <w:pStyle w:val="ListParagraph"/>
        <w:numPr>
          <w:ilvl w:val="0"/>
          <w:numId w:val="4"/>
        </w:numPr>
        <w:spacing w:after="120" w:line="220" w:lineRule="exact"/>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We must </w:t>
      </w:r>
      <w:r w:rsidRPr="00D75DE2">
        <w:rPr>
          <w:rFonts w:ascii="Arial" w:hAnsi="Arial" w:cs="Arial"/>
          <w:b/>
          <w:sz w:val="22"/>
        </w:rPr>
        <w:t>respond</w:t>
      </w:r>
      <w:r w:rsidRPr="00D75DE2">
        <w:rPr>
          <w:rFonts w:ascii="Arial" w:hAnsi="Arial" w:cs="Arial"/>
          <w:sz w:val="22"/>
        </w:rPr>
        <w:t xml:space="preserve"> within one calendar month after accepting the request as valid. </w:t>
      </w:r>
    </w:p>
    <w:p w:rsidR="006361FD" w:rsidRPr="00D75DE2" w:rsidRDefault="006361FD" w:rsidP="006361FD">
      <w:pPr>
        <w:pStyle w:val="ListParagraph"/>
        <w:numPr>
          <w:ilvl w:val="0"/>
          <w:numId w:val="4"/>
        </w:numPr>
        <w:spacing w:after="120" w:line="220" w:lineRule="exact"/>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Subject Access Requests must be undertaken </w:t>
      </w:r>
      <w:r w:rsidRPr="00D75DE2">
        <w:rPr>
          <w:rFonts w:ascii="Arial" w:hAnsi="Arial" w:cs="Arial"/>
          <w:b/>
          <w:sz w:val="22"/>
        </w:rPr>
        <w:t>free of charge</w:t>
      </w:r>
      <w:r w:rsidRPr="00D75DE2">
        <w:rPr>
          <w:rFonts w:ascii="Arial" w:hAnsi="Arial" w:cs="Arial"/>
          <w:sz w:val="22"/>
        </w:rPr>
        <w:t xml:space="preserve"> to the requestor unless the legislation permits reasonable fees to be charged.</w:t>
      </w:r>
    </w:p>
    <w:p w:rsidR="006361FD" w:rsidRPr="00D75DE2" w:rsidRDefault="006361FD" w:rsidP="006361FD">
      <w:pPr>
        <w:pStyle w:val="ListParagraph"/>
        <w:numPr>
          <w:ilvl w:val="0"/>
          <w:numId w:val="4"/>
        </w:numPr>
        <w:spacing w:after="120" w:line="220" w:lineRule="exact"/>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Councillors and managers must ensure that the staff they manage are </w:t>
      </w:r>
      <w:r w:rsidRPr="00D75DE2">
        <w:rPr>
          <w:rFonts w:ascii="Arial" w:hAnsi="Arial" w:cs="Arial"/>
          <w:b/>
          <w:sz w:val="22"/>
        </w:rPr>
        <w:t>aware</w:t>
      </w:r>
      <w:r w:rsidRPr="00D75DE2">
        <w:rPr>
          <w:rFonts w:ascii="Arial" w:hAnsi="Arial" w:cs="Arial"/>
          <w:sz w:val="22"/>
        </w:rPr>
        <w:t xml:space="preserve"> of and follow this guidance.  </w:t>
      </w:r>
    </w:p>
    <w:p w:rsidR="006361FD" w:rsidRPr="00D75DE2" w:rsidRDefault="006361FD" w:rsidP="006361FD">
      <w:pPr>
        <w:pStyle w:val="ListParagraph"/>
        <w:numPr>
          <w:ilvl w:val="0"/>
          <w:numId w:val="4"/>
        </w:numPr>
        <w:ind w:left="720" w:hanging="720"/>
        <w:rPr>
          <w:rFonts w:ascii="Arial" w:hAnsi="Arial" w:cs="Arial"/>
          <w:sz w:val="22"/>
        </w:rPr>
      </w:pPr>
      <w:r w:rsidRPr="00D75DE2">
        <w:rPr>
          <w:rFonts w:ascii="Arial" w:hAnsi="Arial" w:cs="Arial"/>
          <w:b/>
          <w:i/>
          <w:sz w:val="22"/>
        </w:rPr>
        <w:t>MUST</w:t>
      </w:r>
      <w:r w:rsidRPr="00D75DE2">
        <w:rPr>
          <w:rFonts w:ascii="Arial" w:hAnsi="Arial" w:cs="Arial"/>
          <w:sz w:val="22"/>
        </w:rPr>
        <w:t xml:space="preserve">: Where a requestor is not satisfied with a response to a SAR, the council must manage this as a </w:t>
      </w:r>
      <w:r w:rsidRPr="00D75DE2">
        <w:rPr>
          <w:rFonts w:ascii="Arial" w:hAnsi="Arial" w:cs="Arial"/>
          <w:b/>
          <w:sz w:val="22"/>
        </w:rPr>
        <w:t>complaint</w:t>
      </w:r>
      <w:r w:rsidRPr="00D75DE2">
        <w:rPr>
          <w:rFonts w:ascii="Arial" w:hAnsi="Arial" w:cs="Arial"/>
          <w:sz w:val="22"/>
        </w:rPr>
        <w:t xml:space="preserve">. </w:t>
      </w:r>
    </w:p>
    <w:p w:rsidR="006361FD" w:rsidRPr="00D75DE2" w:rsidRDefault="006361FD" w:rsidP="006361FD">
      <w:pPr>
        <w:pStyle w:val="NoSpacing"/>
        <w:rPr>
          <w:rFonts w:ascii="Arial" w:hAnsi="Arial" w:cs="Arial"/>
          <w:b/>
        </w:rPr>
      </w:pPr>
      <w:r w:rsidRPr="00D75DE2">
        <w:rPr>
          <w:rFonts w:ascii="Arial" w:hAnsi="Arial" w:cs="Arial"/>
          <w:b/>
        </w:rPr>
        <w:t>How must I do it?</w:t>
      </w:r>
    </w:p>
    <w:p w:rsidR="006361FD" w:rsidRPr="00D75DE2" w:rsidRDefault="006361FD" w:rsidP="006361FD">
      <w:pPr>
        <w:pStyle w:val="NoSpacing"/>
        <w:rPr>
          <w:rFonts w:ascii="Arial" w:hAnsi="Arial" w:cs="Arial"/>
        </w:rPr>
      </w:pPr>
    </w:p>
    <w:p w:rsidR="006361FD" w:rsidRPr="00D75DE2" w:rsidRDefault="006361FD" w:rsidP="006361FD">
      <w:pPr>
        <w:pStyle w:val="NoSpacing"/>
        <w:numPr>
          <w:ilvl w:val="0"/>
          <w:numId w:val="5"/>
        </w:numPr>
        <w:spacing w:after="120"/>
        <w:ind w:hanging="720"/>
        <w:rPr>
          <w:rFonts w:ascii="Arial" w:hAnsi="Arial" w:cs="Arial"/>
        </w:rPr>
      </w:pPr>
      <w:r w:rsidRPr="00D75DE2">
        <w:rPr>
          <w:rFonts w:ascii="Arial" w:hAnsi="Arial" w:cs="Arial"/>
        </w:rPr>
        <w:t>Notify [  ] upon receipt of a request.</w:t>
      </w:r>
    </w:p>
    <w:p w:rsidR="006361FD" w:rsidRPr="00D75DE2" w:rsidRDefault="006361FD" w:rsidP="006361FD">
      <w:pPr>
        <w:pStyle w:val="NoSpacing"/>
        <w:numPr>
          <w:ilvl w:val="0"/>
          <w:numId w:val="5"/>
        </w:numPr>
        <w:ind w:hanging="720"/>
        <w:rPr>
          <w:rFonts w:ascii="Arial" w:hAnsi="Arial" w:cs="Arial"/>
        </w:rPr>
      </w:pPr>
      <w:r w:rsidRPr="00D75DE2">
        <w:rPr>
          <w:rFonts w:ascii="Arial" w:hAnsi="Arial" w:cs="Arial"/>
        </w:rPr>
        <w:t xml:space="preserve">We must ensure a request has been received in writing where a data subject is asking for sufficiently well-defined personal data held by the council relating to the data subject. You should clarify with the requestor what personal data they need. They must supply their address and valid evidence to prove their identity. The council  accepts the following forms of identification (* These documents must be dated in the past 12 months, +These documents must be dated in the past 3 months): </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Current UK/EEA Passport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 xml:space="preserve">UK </w:t>
      </w:r>
      <w:proofErr w:type="spellStart"/>
      <w:r w:rsidRPr="00D75DE2">
        <w:rPr>
          <w:rFonts w:ascii="Arial" w:hAnsi="Arial" w:cs="Arial"/>
          <w:sz w:val="22"/>
          <w:szCs w:val="22"/>
        </w:rPr>
        <w:t>Photocard</w:t>
      </w:r>
      <w:proofErr w:type="spellEnd"/>
      <w:r w:rsidRPr="00D75DE2">
        <w:rPr>
          <w:rFonts w:ascii="Arial" w:hAnsi="Arial" w:cs="Arial"/>
          <w:sz w:val="22"/>
          <w:szCs w:val="22"/>
        </w:rPr>
        <w:t xml:space="preserve"> Driving Licence (Full or Provisional)</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Firearms Licence / Shotgun Certificate</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EEA National Identity Card</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Full UK Paper Driving Licence</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State Benefits Entitlement Document*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State Pension Entitlement Document*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HMRC Tax Credit Document*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Local Authority Benefit Document*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State/Local Authority Educational Grant Document*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HMRC Tax Notification Document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Disabled Driver’s Pass</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Financial Statement issued by bank, building society or credit card company+</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Judiciary Document such as a Notice of Hearing, Summons or Court Order</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Utility bill for supply of gas, electric, water or telephone landline+</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Most recent Mortgage Statement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Most recent council Tax Bill/Demand or Statement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Tenancy Agreement</w:t>
      </w:r>
    </w:p>
    <w:p w:rsidR="006361FD" w:rsidRPr="00D75DE2" w:rsidRDefault="006361FD" w:rsidP="006361FD">
      <w:pPr>
        <w:pStyle w:val="Level1Bullet"/>
        <w:spacing w:before="0" w:after="0"/>
        <w:ind w:left="1440" w:hanging="720"/>
        <w:rPr>
          <w:rFonts w:ascii="Arial" w:hAnsi="Arial" w:cs="Arial"/>
          <w:sz w:val="22"/>
          <w:szCs w:val="22"/>
        </w:rPr>
      </w:pPr>
      <w:r w:rsidRPr="00D75DE2">
        <w:rPr>
          <w:rFonts w:ascii="Arial" w:hAnsi="Arial" w:cs="Arial"/>
          <w:sz w:val="22"/>
          <w:szCs w:val="22"/>
        </w:rPr>
        <w:t>Building Society Passbook which shows a transaction in the last 3 months and your address</w:t>
      </w:r>
    </w:p>
    <w:p w:rsidR="006361FD" w:rsidRPr="00D75DE2" w:rsidRDefault="006361FD" w:rsidP="006361FD">
      <w:pPr>
        <w:pStyle w:val="NoSpacing"/>
        <w:numPr>
          <w:ilvl w:val="0"/>
          <w:numId w:val="5"/>
        </w:numPr>
        <w:spacing w:after="240"/>
        <w:ind w:hanging="720"/>
        <w:rPr>
          <w:rFonts w:ascii="Arial" w:hAnsi="Arial" w:cs="Arial"/>
        </w:rPr>
      </w:pPr>
      <w:r w:rsidRPr="00D75DE2">
        <w:rPr>
          <w:rFonts w:ascii="Arial" w:hAnsi="Arial" w:cs="Arial"/>
        </w:rPr>
        <w:t>Depending on the degree to which personal data is organised and structured, you will need to search emails (including archived emails and those that have been deleted but are still recoverable), Word documents, spreadsheets, databases, systems, removable media (for example, memory sticks, floppy disks, CDs), tape recordings, paper records in relevant filing systems etc. which your area is responsible for or owns.</w:t>
      </w:r>
    </w:p>
    <w:p w:rsidR="006361FD" w:rsidRDefault="006361FD" w:rsidP="006361FD">
      <w:pPr>
        <w:pStyle w:val="NoSpacing"/>
        <w:numPr>
          <w:ilvl w:val="0"/>
          <w:numId w:val="5"/>
        </w:numPr>
        <w:spacing w:after="240"/>
        <w:ind w:hanging="720"/>
        <w:rPr>
          <w:rFonts w:ascii="Arial" w:hAnsi="Arial" w:cs="Arial"/>
        </w:rPr>
      </w:pPr>
      <w:r w:rsidRPr="00D75DE2">
        <w:rPr>
          <w:rFonts w:ascii="Arial" w:hAnsi="Arial" w:cs="Arial"/>
        </w:rPr>
        <w:t>You must not withhold personal data because you believe it will be misunderstood; instead, you should provide an explanation with the personal data. You must provide the personal data in an “intelligible form”, which includes giving an explanation of any codes, acronyms and complex terms. The personal data must be supplied in a permanent form except where the person agrees or where it is impossible or would involve undue effort. You may be able to agree with the requester that they will view the personal data on screen or inspect files on our premises. You must redact any exempt personal data from the released documents and explain why that personal data is being withheld.</w:t>
      </w:r>
    </w:p>
    <w:p w:rsidR="005D4FF4" w:rsidRDefault="005D4FF4" w:rsidP="005D4FF4">
      <w:pPr>
        <w:pStyle w:val="NoSpacing"/>
        <w:spacing w:after="240"/>
        <w:rPr>
          <w:rFonts w:ascii="Arial" w:hAnsi="Arial" w:cs="Arial"/>
        </w:rPr>
      </w:pPr>
    </w:p>
    <w:p w:rsidR="005D4FF4" w:rsidRDefault="005D4FF4" w:rsidP="005D4FF4">
      <w:pPr>
        <w:pStyle w:val="NoSpacing"/>
        <w:spacing w:after="240"/>
        <w:rPr>
          <w:rFonts w:ascii="Arial" w:hAnsi="Arial" w:cs="Arial"/>
        </w:rPr>
      </w:pPr>
      <w:r>
        <w:rPr>
          <w:rFonts w:ascii="Arial" w:hAnsi="Arial" w:cs="Arial"/>
        </w:rPr>
        <w:t>Signed………………………………………………</w:t>
      </w:r>
    </w:p>
    <w:p w:rsidR="005D4FF4" w:rsidRPr="00D75DE2" w:rsidRDefault="005D4FF4" w:rsidP="005D4FF4">
      <w:pPr>
        <w:pStyle w:val="NoSpacing"/>
        <w:spacing w:after="240"/>
        <w:rPr>
          <w:rFonts w:ascii="Arial" w:hAnsi="Arial" w:cs="Arial"/>
        </w:rPr>
      </w:pPr>
      <w:r>
        <w:rPr>
          <w:rFonts w:ascii="Arial" w:hAnsi="Arial" w:cs="Arial"/>
        </w:rPr>
        <w:t>Chairman Longden Parish Coun</w:t>
      </w:r>
      <w:bookmarkStart w:id="2" w:name="_GoBack"/>
      <w:bookmarkEnd w:id="2"/>
      <w:r>
        <w:rPr>
          <w:rFonts w:ascii="Arial" w:hAnsi="Arial" w:cs="Arial"/>
        </w:rPr>
        <w:t>cil</w:t>
      </w:r>
    </w:p>
    <w:p w:rsidR="00817CF6" w:rsidRDefault="00DD334E"/>
    <w:sectPr w:rsidR="00817C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4E" w:rsidRDefault="00DD334E" w:rsidP="006361FD">
      <w:pPr>
        <w:spacing w:after="0" w:line="240" w:lineRule="auto"/>
      </w:pPr>
      <w:r>
        <w:separator/>
      </w:r>
    </w:p>
  </w:endnote>
  <w:endnote w:type="continuationSeparator" w:id="0">
    <w:p w:rsidR="00DD334E" w:rsidRDefault="00DD334E" w:rsidP="0063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4E" w:rsidRDefault="00DD334E" w:rsidP="006361FD">
      <w:pPr>
        <w:spacing w:after="0" w:line="240" w:lineRule="auto"/>
      </w:pPr>
      <w:r>
        <w:separator/>
      </w:r>
    </w:p>
  </w:footnote>
  <w:footnote w:type="continuationSeparator" w:id="0">
    <w:p w:rsidR="00DD334E" w:rsidRDefault="00DD334E" w:rsidP="006361FD">
      <w:pPr>
        <w:spacing w:after="0" w:line="240" w:lineRule="auto"/>
      </w:pPr>
      <w:r>
        <w:continuationSeparator/>
      </w:r>
    </w:p>
  </w:footnote>
  <w:footnote w:id="1">
    <w:p w:rsidR="006361FD" w:rsidRDefault="006361FD" w:rsidP="006361FD">
      <w:pPr>
        <w:pStyle w:val="FootnoteText"/>
        <w:spacing w:line="240" w:lineRule="auto"/>
        <w:ind w:left="0" w:firstLine="0"/>
      </w:pPr>
      <w:r>
        <w:rPr>
          <w:rStyle w:val="FootnoteReference"/>
        </w:rPr>
        <w:footnoteRef/>
      </w:r>
      <w:r>
        <w:t xml:space="preserve"> “</w:t>
      </w:r>
      <w:r w:rsidRPr="00375133">
        <w:rPr>
          <w:sz w:val="16"/>
        </w:rPr>
        <w:t>Binding Corporate Rules</w:t>
      </w:r>
      <w:r>
        <w:rPr>
          <w:sz w:val="16"/>
        </w:rPr>
        <w:t>”</w:t>
      </w:r>
      <w:r w:rsidRPr="00375133">
        <w:rPr>
          <w:sz w:val="16"/>
        </w:rPr>
        <w:t xml:space="preserve"> is a global data protection policy covering the international transfer pf personal data out of the European Union.  It requires approval of a data protection regulator in the European Union.  In most cases this will be the relevant regulator where an organisations </w:t>
      </w:r>
      <w:proofErr w:type="spellStart"/>
      <w:r w:rsidRPr="00375133">
        <w:rPr>
          <w:sz w:val="16"/>
        </w:rPr>
        <w:t>head quarters</w:t>
      </w:r>
      <w:proofErr w:type="spellEnd"/>
      <w:r w:rsidRPr="00375133">
        <w:rPr>
          <w:sz w:val="16"/>
        </w:rPr>
        <w:t xml:space="preserve"> is located.  In the UK, the relevant regulator is the Information Commissioner’s Office.</w:t>
      </w:r>
    </w:p>
  </w:footnote>
  <w:footnote w:id="2">
    <w:p w:rsidR="006361FD" w:rsidRDefault="006361FD" w:rsidP="006361FD">
      <w:pPr>
        <w:pStyle w:val="FootnoteText"/>
        <w:spacing w:line="240" w:lineRule="auto"/>
        <w:ind w:left="0" w:firstLine="0"/>
      </w:pPr>
      <w:r>
        <w:rPr>
          <w:rStyle w:val="FootnoteReference"/>
        </w:rPr>
        <w:footnoteRef/>
      </w:r>
      <w:r>
        <w:t xml:space="preserve"> </w:t>
      </w:r>
      <w:r w:rsidRPr="00375133">
        <w:rPr>
          <w:sz w:val="16"/>
        </w:rPr>
        <w:t>“EU model clauses” are clauses approved by the European Union which govern the international transfer of personal data.  The clauses can be between two data controllers or a data controller and a data processor.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3A6"/>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4">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6">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FD"/>
    <w:rsid w:val="00051B6D"/>
    <w:rsid w:val="0034621B"/>
    <w:rsid w:val="003B2256"/>
    <w:rsid w:val="005942E5"/>
    <w:rsid w:val="005D4FF4"/>
    <w:rsid w:val="006361FD"/>
    <w:rsid w:val="00DD334E"/>
    <w:rsid w:val="00E56C2C"/>
    <w:rsid w:val="00F04EE0"/>
    <w:rsid w:val="00F6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61FD"/>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6361FD"/>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6361FD"/>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6361FD"/>
    <w:pPr>
      <w:numPr>
        <w:ilvl w:val="2"/>
        <w:numId w:val="3"/>
      </w:numPr>
      <w:spacing w:after="120"/>
      <w:outlineLvl w:val="2"/>
    </w:pPr>
    <w:rPr>
      <w:rFonts w:eastAsia="Arial Unicode MS"/>
    </w:rPr>
  </w:style>
  <w:style w:type="paragraph" w:styleId="Heading4">
    <w:name w:val="heading 4"/>
    <w:basedOn w:val="Heading3"/>
    <w:link w:val="Heading4Char"/>
    <w:qFormat/>
    <w:rsid w:val="006361FD"/>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6361FD"/>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6361FD"/>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6361FD"/>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6361FD"/>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6361FD"/>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1FD"/>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6361FD"/>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6361FD"/>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6361FD"/>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6361FD"/>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6361FD"/>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6361FD"/>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6361FD"/>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6361FD"/>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6361FD"/>
    <w:pPr>
      <w:numPr>
        <w:numId w:val="6"/>
      </w:numPr>
      <w:spacing w:after="200" w:line="240" w:lineRule="auto"/>
    </w:pPr>
    <w:rPr>
      <w:rFonts w:cs="Arial Black"/>
      <w:color w:val="000000"/>
      <w:sz w:val="18"/>
      <w:szCs w:val="18"/>
    </w:rPr>
  </w:style>
  <w:style w:type="paragraph" w:customStyle="1" w:styleId="AnnexureHeading2">
    <w:name w:val="Annexure Heading 2"/>
    <w:basedOn w:val="Normal"/>
    <w:qFormat/>
    <w:rsid w:val="006361FD"/>
    <w:pPr>
      <w:numPr>
        <w:ilvl w:val="1"/>
        <w:numId w:val="6"/>
      </w:numPr>
    </w:pPr>
  </w:style>
  <w:style w:type="paragraph" w:customStyle="1" w:styleId="AnnexureHeading3">
    <w:name w:val="Annexure Heading 3"/>
    <w:basedOn w:val="Normal"/>
    <w:qFormat/>
    <w:rsid w:val="006361FD"/>
    <w:pPr>
      <w:numPr>
        <w:ilvl w:val="2"/>
        <w:numId w:val="6"/>
      </w:numPr>
    </w:pPr>
  </w:style>
  <w:style w:type="paragraph" w:customStyle="1" w:styleId="AnnexureHeading4">
    <w:name w:val="Annexure Heading 4"/>
    <w:basedOn w:val="Normal"/>
    <w:qFormat/>
    <w:rsid w:val="006361FD"/>
    <w:pPr>
      <w:numPr>
        <w:ilvl w:val="3"/>
        <w:numId w:val="6"/>
      </w:numPr>
    </w:pPr>
  </w:style>
  <w:style w:type="paragraph" w:customStyle="1" w:styleId="ScheduleHeading1">
    <w:name w:val="Schedule Heading 1"/>
    <w:basedOn w:val="Normal"/>
    <w:next w:val="ScheduleHeading2"/>
    <w:qFormat/>
    <w:rsid w:val="006361FD"/>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6361FD"/>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6361FD"/>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6361FD"/>
    <w:pPr>
      <w:numPr>
        <w:ilvl w:val="3"/>
        <w:numId w:val="1"/>
      </w:numPr>
    </w:pPr>
  </w:style>
  <w:style w:type="paragraph" w:customStyle="1" w:styleId="AnnexureHeading5">
    <w:name w:val="Annexure Heading 5"/>
    <w:basedOn w:val="Normal"/>
    <w:qFormat/>
    <w:rsid w:val="006361FD"/>
    <w:pPr>
      <w:numPr>
        <w:ilvl w:val="4"/>
        <w:numId w:val="6"/>
      </w:numPr>
    </w:pPr>
  </w:style>
  <w:style w:type="paragraph" w:customStyle="1" w:styleId="ScheduleHeading5">
    <w:name w:val="Schedule Heading 5"/>
    <w:basedOn w:val="Normal"/>
    <w:qFormat/>
    <w:rsid w:val="006361FD"/>
    <w:pPr>
      <w:numPr>
        <w:ilvl w:val="4"/>
        <w:numId w:val="1"/>
      </w:numPr>
    </w:pPr>
  </w:style>
  <w:style w:type="paragraph" w:styleId="ListParagraph">
    <w:name w:val="List Paragraph"/>
    <w:basedOn w:val="Normal"/>
    <w:uiPriority w:val="1"/>
    <w:qFormat/>
    <w:rsid w:val="006361FD"/>
    <w:pPr>
      <w:numPr>
        <w:numId w:val="8"/>
      </w:numPr>
      <w:spacing w:after="240" w:line="260" w:lineRule="exact"/>
    </w:pPr>
  </w:style>
  <w:style w:type="character" w:customStyle="1" w:styleId="Bodytext2">
    <w:name w:val="Body text (2)"/>
    <w:basedOn w:val="DefaultParagraphFont"/>
    <w:rsid w:val="006361F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6361FD"/>
    <w:pPr>
      <w:numPr>
        <w:numId w:val="2"/>
      </w:numPr>
      <w:spacing w:before="120"/>
    </w:pPr>
    <w:rPr>
      <w:rFonts w:ascii="Calibri" w:hAnsi="Calibri" w:cs="Calibri"/>
      <w:szCs w:val="20"/>
    </w:rPr>
  </w:style>
  <w:style w:type="paragraph" w:customStyle="1" w:styleId="Level2Bullet">
    <w:name w:val="Level 2 Bullet"/>
    <w:basedOn w:val="BodyText3"/>
    <w:rsid w:val="006361FD"/>
    <w:pPr>
      <w:numPr>
        <w:ilvl w:val="1"/>
        <w:numId w:val="2"/>
      </w:numPr>
      <w:tabs>
        <w:tab w:val="clear" w:pos="1440"/>
        <w:tab w:val="num" w:pos="360"/>
      </w:tabs>
      <w:ind w:left="720" w:hanging="720"/>
    </w:pPr>
    <w:rPr>
      <w:rFonts w:ascii="Calibri" w:hAnsi="Calibri" w:cs="Calibri"/>
      <w:sz w:val="20"/>
      <w:szCs w:val="20"/>
    </w:rPr>
  </w:style>
  <w:style w:type="paragraph" w:styleId="FootnoteText">
    <w:name w:val="footnote text"/>
    <w:basedOn w:val="Normal"/>
    <w:link w:val="FootnoteTextChar"/>
    <w:uiPriority w:val="99"/>
    <w:semiHidden/>
    <w:unhideWhenUsed/>
    <w:rsid w:val="006361FD"/>
    <w:rPr>
      <w:szCs w:val="20"/>
      <w:lang w:eastAsia="en-US"/>
    </w:rPr>
  </w:style>
  <w:style w:type="character" w:customStyle="1" w:styleId="FootnoteTextChar">
    <w:name w:val="Footnote Text Char"/>
    <w:basedOn w:val="DefaultParagraphFont"/>
    <w:link w:val="FootnoteText"/>
    <w:uiPriority w:val="99"/>
    <w:semiHidden/>
    <w:rsid w:val="006361F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6361FD"/>
    <w:rPr>
      <w:vertAlign w:val="superscript"/>
    </w:rPr>
  </w:style>
  <w:style w:type="paragraph" w:styleId="NoSpacing">
    <w:name w:val="No Spacing"/>
    <w:uiPriority w:val="1"/>
    <w:qFormat/>
    <w:rsid w:val="006361FD"/>
    <w:pPr>
      <w:spacing w:after="0" w:line="240" w:lineRule="auto"/>
    </w:pPr>
  </w:style>
  <w:style w:type="paragraph" w:styleId="BodyText3">
    <w:name w:val="Body Text 3"/>
    <w:basedOn w:val="Normal"/>
    <w:link w:val="BodyText3Char"/>
    <w:uiPriority w:val="99"/>
    <w:semiHidden/>
    <w:unhideWhenUsed/>
    <w:rsid w:val="006361FD"/>
    <w:rPr>
      <w:sz w:val="16"/>
      <w:szCs w:val="16"/>
    </w:rPr>
  </w:style>
  <w:style w:type="character" w:customStyle="1" w:styleId="BodyText3Char">
    <w:name w:val="Body Text 3 Char"/>
    <w:basedOn w:val="DefaultParagraphFont"/>
    <w:link w:val="BodyText3"/>
    <w:uiPriority w:val="99"/>
    <w:semiHidden/>
    <w:rsid w:val="006361FD"/>
    <w:rPr>
      <w:rFonts w:ascii="Century Gothic" w:eastAsia="Times New Roman" w:hAnsi="Century Gothic" w:cs="Times New Roman"/>
      <w:sz w:val="16"/>
      <w:szCs w:val="16"/>
      <w:lang w:eastAsia="en-GB"/>
    </w:rPr>
  </w:style>
  <w:style w:type="paragraph" w:styleId="Header">
    <w:name w:val="header"/>
    <w:basedOn w:val="Normal"/>
    <w:link w:val="HeaderChar"/>
    <w:uiPriority w:val="99"/>
    <w:unhideWhenUsed/>
    <w:rsid w:val="00636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1FD"/>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636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1FD"/>
    <w:rPr>
      <w:rFonts w:ascii="Century Gothic" w:eastAsia="Times New Roman" w:hAnsi="Century Gothic" w:cs="Times New Roman"/>
      <w:sz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61FD"/>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6361FD"/>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6361FD"/>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6361FD"/>
    <w:pPr>
      <w:numPr>
        <w:ilvl w:val="2"/>
        <w:numId w:val="3"/>
      </w:numPr>
      <w:spacing w:after="120"/>
      <w:outlineLvl w:val="2"/>
    </w:pPr>
    <w:rPr>
      <w:rFonts w:eastAsia="Arial Unicode MS"/>
    </w:rPr>
  </w:style>
  <w:style w:type="paragraph" w:styleId="Heading4">
    <w:name w:val="heading 4"/>
    <w:basedOn w:val="Heading3"/>
    <w:link w:val="Heading4Char"/>
    <w:qFormat/>
    <w:rsid w:val="006361FD"/>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6361FD"/>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6361FD"/>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6361FD"/>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6361FD"/>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6361FD"/>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1FD"/>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6361FD"/>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6361FD"/>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6361FD"/>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6361FD"/>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6361FD"/>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6361FD"/>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6361FD"/>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6361FD"/>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6361FD"/>
    <w:pPr>
      <w:numPr>
        <w:numId w:val="6"/>
      </w:numPr>
      <w:spacing w:after="200" w:line="240" w:lineRule="auto"/>
    </w:pPr>
    <w:rPr>
      <w:rFonts w:cs="Arial Black"/>
      <w:color w:val="000000"/>
      <w:sz w:val="18"/>
      <w:szCs w:val="18"/>
    </w:rPr>
  </w:style>
  <w:style w:type="paragraph" w:customStyle="1" w:styleId="AnnexureHeading2">
    <w:name w:val="Annexure Heading 2"/>
    <w:basedOn w:val="Normal"/>
    <w:qFormat/>
    <w:rsid w:val="006361FD"/>
    <w:pPr>
      <w:numPr>
        <w:ilvl w:val="1"/>
        <w:numId w:val="6"/>
      </w:numPr>
    </w:pPr>
  </w:style>
  <w:style w:type="paragraph" w:customStyle="1" w:styleId="AnnexureHeading3">
    <w:name w:val="Annexure Heading 3"/>
    <w:basedOn w:val="Normal"/>
    <w:qFormat/>
    <w:rsid w:val="006361FD"/>
    <w:pPr>
      <w:numPr>
        <w:ilvl w:val="2"/>
        <w:numId w:val="6"/>
      </w:numPr>
    </w:pPr>
  </w:style>
  <w:style w:type="paragraph" w:customStyle="1" w:styleId="AnnexureHeading4">
    <w:name w:val="Annexure Heading 4"/>
    <w:basedOn w:val="Normal"/>
    <w:qFormat/>
    <w:rsid w:val="006361FD"/>
    <w:pPr>
      <w:numPr>
        <w:ilvl w:val="3"/>
        <w:numId w:val="6"/>
      </w:numPr>
    </w:pPr>
  </w:style>
  <w:style w:type="paragraph" w:customStyle="1" w:styleId="ScheduleHeading1">
    <w:name w:val="Schedule Heading 1"/>
    <w:basedOn w:val="Normal"/>
    <w:next w:val="ScheduleHeading2"/>
    <w:qFormat/>
    <w:rsid w:val="006361FD"/>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6361FD"/>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6361FD"/>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6361FD"/>
    <w:pPr>
      <w:numPr>
        <w:ilvl w:val="3"/>
        <w:numId w:val="1"/>
      </w:numPr>
    </w:pPr>
  </w:style>
  <w:style w:type="paragraph" w:customStyle="1" w:styleId="AnnexureHeading5">
    <w:name w:val="Annexure Heading 5"/>
    <w:basedOn w:val="Normal"/>
    <w:qFormat/>
    <w:rsid w:val="006361FD"/>
    <w:pPr>
      <w:numPr>
        <w:ilvl w:val="4"/>
        <w:numId w:val="6"/>
      </w:numPr>
    </w:pPr>
  </w:style>
  <w:style w:type="paragraph" w:customStyle="1" w:styleId="ScheduleHeading5">
    <w:name w:val="Schedule Heading 5"/>
    <w:basedOn w:val="Normal"/>
    <w:qFormat/>
    <w:rsid w:val="006361FD"/>
    <w:pPr>
      <w:numPr>
        <w:ilvl w:val="4"/>
        <w:numId w:val="1"/>
      </w:numPr>
    </w:pPr>
  </w:style>
  <w:style w:type="paragraph" w:styleId="ListParagraph">
    <w:name w:val="List Paragraph"/>
    <w:basedOn w:val="Normal"/>
    <w:uiPriority w:val="1"/>
    <w:qFormat/>
    <w:rsid w:val="006361FD"/>
    <w:pPr>
      <w:numPr>
        <w:numId w:val="8"/>
      </w:numPr>
      <w:spacing w:after="240" w:line="260" w:lineRule="exact"/>
    </w:pPr>
  </w:style>
  <w:style w:type="character" w:customStyle="1" w:styleId="Bodytext2">
    <w:name w:val="Body text (2)"/>
    <w:basedOn w:val="DefaultParagraphFont"/>
    <w:rsid w:val="006361F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6361FD"/>
    <w:pPr>
      <w:numPr>
        <w:numId w:val="2"/>
      </w:numPr>
      <w:spacing w:before="120"/>
    </w:pPr>
    <w:rPr>
      <w:rFonts w:ascii="Calibri" w:hAnsi="Calibri" w:cs="Calibri"/>
      <w:szCs w:val="20"/>
    </w:rPr>
  </w:style>
  <w:style w:type="paragraph" w:customStyle="1" w:styleId="Level2Bullet">
    <w:name w:val="Level 2 Bullet"/>
    <w:basedOn w:val="BodyText3"/>
    <w:rsid w:val="006361FD"/>
    <w:pPr>
      <w:numPr>
        <w:ilvl w:val="1"/>
        <w:numId w:val="2"/>
      </w:numPr>
      <w:tabs>
        <w:tab w:val="clear" w:pos="1440"/>
        <w:tab w:val="num" w:pos="360"/>
      </w:tabs>
      <w:ind w:left="720" w:hanging="720"/>
    </w:pPr>
    <w:rPr>
      <w:rFonts w:ascii="Calibri" w:hAnsi="Calibri" w:cs="Calibri"/>
      <w:sz w:val="20"/>
      <w:szCs w:val="20"/>
    </w:rPr>
  </w:style>
  <w:style w:type="paragraph" w:styleId="FootnoteText">
    <w:name w:val="footnote text"/>
    <w:basedOn w:val="Normal"/>
    <w:link w:val="FootnoteTextChar"/>
    <w:uiPriority w:val="99"/>
    <w:semiHidden/>
    <w:unhideWhenUsed/>
    <w:rsid w:val="006361FD"/>
    <w:rPr>
      <w:szCs w:val="20"/>
      <w:lang w:eastAsia="en-US"/>
    </w:rPr>
  </w:style>
  <w:style w:type="character" w:customStyle="1" w:styleId="FootnoteTextChar">
    <w:name w:val="Footnote Text Char"/>
    <w:basedOn w:val="DefaultParagraphFont"/>
    <w:link w:val="FootnoteText"/>
    <w:uiPriority w:val="99"/>
    <w:semiHidden/>
    <w:rsid w:val="006361F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6361FD"/>
    <w:rPr>
      <w:vertAlign w:val="superscript"/>
    </w:rPr>
  </w:style>
  <w:style w:type="paragraph" w:styleId="NoSpacing">
    <w:name w:val="No Spacing"/>
    <w:uiPriority w:val="1"/>
    <w:qFormat/>
    <w:rsid w:val="006361FD"/>
    <w:pPr>
      <w:spacing w:after="0" w:line="240" w:lineRule="auto"/>
    </w:pPr>
  </w:style>
  <w:style w:type="paragraph" w:styleId="BodyText3">
    <w:name w:val="Body Text 3"/>
    <w:basedOn w:val="Normal"/>
    <w:link w:val="BodyText3Char"/>
    <w:uiPriority w:val="99"/>
    <w:semiHidden/>
    <w:unhideWhenUsed/>
    <w:rsid w:val="006361FD"/>
    <w:rPr>
      <w:sz w:val="16"/>
      <w:szCs w:val="16"/>
    </w:rPr>
  </w:style>
  <w:style w:type="character" w:customStyle="1" w:styleId="BodyText3Char">
    <w:name w:val="Body Text 3 Char"/>
    <w:basedOn w:val="DefaultParagraphFont"/>
    <w:link w:val="BodyText3"/>
    <w:uiPriority w:val="99"/>
    <w:semiHidden/>
    <w:rsid w:val="006361FD"/>
    <w:rPr>
      <w:rFonts w:ascii="Century Gothic" w:eastAsia="Times New Roman" w:hAnsi="Century Gothic" w:cs="Times New Roman"/>
      <w:sz w:val="16"/>
      <w:szCs w:val="16"/>
      <w:lang w:eastAsia="en-GB"/>
    </w:rPr>
  </w:style>
  <w:style w:type="paragraph" w:styleId="Header">
    <w:name w:val="header"/>
    <w:basedOn w:val="Normal"/>
    <w:link w:val="HeaderChar"/>
    <w:uiPriority w:val="99"/>
    <w:unhideWhenUsed/>
    <w:rsid w:val="00636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1FD"/>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636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1FD"/>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6586</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Subject Access Policy.</vt:lpstr>
    </vt:vector>
  </TitlesOfParts>
  <Company>Hewlett-Packard</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Uffington Parish</dc:creator>
  <cp:lastModifiedBy>Longden</cp:lastModifiedBy>
  <cp:revision>5</cp:revision>
  <dcterms:created xsi:type="dcterms:W3CDTF">2018-03-27T14:36:00Z</dcterms:created>
  <dcterms:modified xsi:type="dcterms:W3CDTF">2018-04-04T09:14:00Z</dcterms:modified>
</cp:coreProperties>
</file>